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E4FD" w14:textId="77777777" w:rsidR="00FA4A91" w:rsidRDefault="00FA4A91">
      <w:pPr>
        <w:rPr>
          <w:rFonts w:ascii="Calibri" w:eastAsia="Calibri" w:hAnsi="Calibri" w:cs="Calibri"/>
          <w:b/>
        </w:rPr>
      </w:pPr>
    </w:p>
    <w:p w14:paraId="671A7E92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14:paraId="7E769DDF" w14:textId="77777777" w:rsidR="00FA4A91" w:rsidRDefault="00C15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TÜRKİYE OLİMPİK HAZIRLIK MERKEZLERİ </w:t>
      </w:r>
    </w:p>
    <w:p w14:paraId="2793775D" w14:textId="77777777" w:rsidR="00FA4A91" w:rsidRDefault="00C15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MODERN PENTATLON SPORCUSU ALIM KRİTERLERİ</w:t>
      </w:r>
    </w:p>
    <w:p w14:paraId="5F56EE4B" w14:textId="37D747C4" w:rsidR="00FA4A91" w:rsidRDefault="00C15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202</w:t>
      </w:r>
      <w:r w:rsidR="00EF2A40">
        <w:rPr>
          <w:rFonts w:ascii="Calibri" w:eastAsia="Calibri" w:hAnsi="Calibri" w:cs="Calibri"/>
          <w:b/>
          <w:color w:val="000000"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 - EYLÜL DÖNEMİ </w:t>
      </w:r>
    </w:p>
    <w:p w14:paraId="2500A657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14:paraId="1641A373" w14:textId="0958B3E0" w:rsidR="002920D9" w:rsidRPr="00EF2A40" w:rsidRDefault="002920D9" w:rsidP="002920D9">
      <w:pPr>
        <w:rPr>
          <w:rFonts w:ascii="Calibri" w:eastAsia="Calibri" w:hAnsi="Calibri" w:cs="Calibri"/>
          <w:b/>
        </w:rPr>
      </w:pPr>
    </w:p>
    <w:p w14:paraId="6F282D4B" w14:textId="77777777" w:rsidR="002920D9" w:rsidRDefault="002920D9" w:rsidP="00284EE9">
      <w:pPr>
        <w:rPr>
          <w:rFonts w:ascii="Calibri" w:eastAsia="Calibri" w:hAnsi="Calibri" w:cs="Calibri"/>
        </w:rPr>
      </w:pPr>
    </w:p>
    <w:p w14:paraId="735E9120" w14:textId="77777777" w:rsidR="00284EE9" w:rsidRDefault="00284EE9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Calibri" w:eastAsia="Calibri" w:hAnsi="Calibri" w:cs="Calibri"/>
          <w:color w:val="000000"/>
        </w:rPr>
      </w:pPr>
    </w:p>
    <w:p w14:paraId="0DF274A2" w14:textId="77777777" w:rsidR="00284EE9" w:rsidRPr="002920D9" w:rsidRDefault="002920D9" w:rsidP="002920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2920D9">
        <w:rPr>
          <w:rFonts w:ascii="Calibri" w:eastAsia="Calibri" w:hAnsi="Calibri" w:cs="Calibri"/>
          <w:b/>
          <w:color w:val="000000"/>
        </w:rPr>
        <w:t>Genel Şartlar</w:t>
      </w:r>
    </w:p>
    <w:p w14:paraId="29713602" w14:textId="1A72D121" w:rsidR="00FA4A91" w:rsidRDefault="00C153A8" w:rsidP="002920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Türkiye Olimpiyat Hazırlık Merkezi (TOHM) bulunan illerde (Ankara, Bursa, Malatya ve açılması planlanan illerde) ikamet eden modern pentatlon sporcuları için Eylül 202</w:t>
      </w:r>
      <w:r w:rsidR="00EF2A4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Dönemi için yapılacak alım </w:t>
      </w:r>
      <w:proofErr w:type="gramStart"/>
      <w:r>
        <w:rPr>
          <w:rFonts w:ascii="Calibri" w:eastAsia="Calibri" w:hAnsi="Calibri" w:cs="Calibri"/>
          <w:color w:val="000000"/>
        </w:rPr>
        <w:t>kriterleri</w:t>
      </w:r>
      <w:proofErr w:type="gramEnd"/>
      <w:r>
        <w:rPr>
          <w:rFonts w:ascii="Calibri" w:eastAsia="Calibri" w:hAnsi="Calibri" w:cs="Calibri"/>
          <w:color w:val="000000"/>
        </w:rPr>
        <w:t xml:space="preserve"> belirlenmiştir. Buna göre </w:t>
      </w:r>
      <w:proofErr w:type="spellStart"/>
      <w:r>
        <w:rPr>
          <w:rFonts w:ascii="Calibri" w:eastAsia="Calibri" w:hAnsi="Calibri" w:cs="Calibri"/>
          <w:color w:val="000000"/>
        </w:rPr>
        <w:t>TOHM’a</w:t>
      </w:r>
      <w:proofErr w:type="spellEnd"/>
      <w:r>
        <w:rPr>
          <w:rFonts w:ascii="Calibri" w:eastAsia="Calibri" w:hAnsi="Calibri" w:cs="Calibri"/>
          <w:color w:val="000000"/>
        </w:rPr>
        <w:t xml:space="preserve"> alınacak modern pentatlon sporcusu </w:t>
      </w:r>
      <w:proofErr w:type="gramStart"/>
      <w:r>
        <w:rPr>
          <w:rFonts w:ascii="Calibri" w:eastAsia="Calibri" w:hAnsi="Calibri" w:cs="Calibri"/>
          <w:color w:val="000000"/>
        </w:rPr>
        <w:t>kriterleri</w:t>
      </w:r>
      <w:proofErr w:type="gramEnd"/>
      <w:r>
        <w:rPr>
          <w:rFonts w:ascii="Calibri" w:eastAsia="Calibri" w:hAnsi="Calibri" w:cs="Calibri"/>
          <w:color w:val="000000"/>
        </w:rPr>
        <w:t xml:space="preserve"> şu şekildedir:</w:t>
      </w:r>
    </w:p>
    <w:p w14:paraId="7731A551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</w:p>
    <w:p w14:paraId="46A01647" w14:textId="77777777" w:rsidR="00FA4A91" w:rsidRDefault="00C153A8" w:rsidP="00292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Modern Pentatlon TOHM Alım Kriterleri</w:t>
      </w:r>
    </w:p>
    <w:p w14:paraId="06837365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b/>
          <w:color w:val="000000"/>
        </w:rPr>
      </w:pPr>
      <w:bookmarkStart w:id="0" w:name="_gjdgxs" w:colFirst="0" w:colLast="0"/>
      <w:bookmarkEnd w:id="0"/>
    </w:p>
    <w:p w14:paraId="7BEE95BF" w14:textId="77777777" w:rsidR="00FA4A91" w:rsidRDefault="00C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libri" w:eastAsia="Calibri" w:hAnsi="Calibri" w:cs="Calibri"/>
          <w:color w:val="000000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</w:rPr>
        <w:t>Modern Pentatlon TOHM bulunan Ankara, Bursa ve Malatya’da ikamet eden alt yaş sınırı 14 ve üst yaş sınırı 21 olan sporcular,</w:t>
      </w:r>
    </w:p>
    <w:p w14:paraId="0AF3B91A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310BF89" w14:textId="7D8F3433" w:rsidR="00FA4A91" w:rsidRDefault="00C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Gençler ve U19 kategorilerinde, 202</w:t>
      </w:r>
      <w:r w:rsidR="00EF2A4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yılı ulusal sıralama yarışmaları sonuçlarında tek bir kategori olarak değerlendirilerek oluşacak sıralamada ilk 6 sırada yer alan sporcular,</w:t>
      </w:r>
    </w:p>
    <w:p w14:paraId="7490C13C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0520C29" w14:textId="1D473A83" w:rsidR="00FA4A91" w:rsidRDefault="00C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libri" w:eastAsia="Calibri" w:hAnsi="Calibri" w:cs="Calibri"/>
          <w:color w:val="000000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color w:val="000000"/>
        </w:rPr>
        <w:t>U17 kategorisinde 202</w:t>
      </w:r>
      <w:r w:rsidR="00EF2A4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yılı ulusal sıralama yarışları sonucunda oluşan sıralamada </w:t>
      </w:r>
      <w:proofErr w:type="gramStart"/>
      <w:r>
        <w:rPr>
          <w:rFonts w:ascii="Calibri" w:eastAsia="Calibri" w:hAnsi="Calibri" w:cs="Calibri"/>
          <w:color w:val="000000"/>
        </w:rPr>
        <w:t>U17  kategorisinde</w:t>
      </w:r>
      <w:proofErr w:type="gramEnd"/>
      <w:r>
        <w:rPr>
          <w:rFonts w:ascii="Calibri" w:eastAsia="Calibri" w:hAnsi="Calibri" w:cs="Calibri"/>
          <w:color w:val="000000"/>
        </w:rPr>
        <w:t xml:space="preserve"> en yüksek puanı alan üç (3) kadın ve üç (3) erkek sporcu; </w:t>
      </w:r>
      <w:proofErr w:type="spellStart"/>
      <w:r>
        <w:rPr>
          <w:rFonts w:ascii="Calibri" w:eastAsia="Calibri" w:hAnsi="Calibri" w:cs="Calibri"/>
          <w:color w:val="000000"/>
        </w:rPr>
        <w:t>TOHM’a</w:t>
      </w:r>
      <w:proofErr w:type="spellEnd"/>
      <w:r>
        <w:rPr>
          <w:rFonts w:ascii="Calibri" w:eastAsia="Calibri" w:hAnsi="Calibri" w:cs="Calibri"/>
          <w:color w:val="000000"/>
        </w:rPr>
        <w:t xml:space="preserve"> mevcut kontenjan dahilinde kayıt yapmaya hak kazanacaklardır.</w:t>
      </w:r>
    </w:p>
    <w:p w14:paraId="16A97A5B" w14:textId="77777777" w:rsidR="00FA4A91" w:rsidRDefault="00FA4A9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EC7B977" w14:textId="77777777" w:rsidR="00FA4A91" w:rsidRDefault="00C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Modern Pentatlon </w:t>
      </w:r>
      <w:proofErr w:type="spellStart"/>
      <w:r>
        <w:rPr>
          <w:rFonts w:ascii="Calibri" w:eastAsia="Calibri" w:hAnsi="Calibri" w:cs="Calibri"/>
          <w:color w:val="000000"/>
        </w:rPr>
        <w:t>TOHM’a</w:t>
      </w:r>
      <w:proofErr w:type="spellEnd"/>
      <w:r>
        <w:rPr>
          <w:rFonts w:ascii="Calibri" w:eastAsia="Calibri" w:hAnsi="Calibri" w:cs="Calibri"/>
          <w:color w:val="000000"/>
        </w:rPr>
        <w:t xml:space="preserve"> kayıt yapan sporcuların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6 ayda</w:t>
      </w:r>
      <w:r>
        <w:rPr>
          <w:rFonts w:ascii="Calibri" w:eastAsia="Calibri" w:hAnsi="Calibri" w:cs="Calibri"/>
        </w:rPr>
        <w:t xml:space="preserve"> bir</w:t>
      </w:r>
      <w:r>
        <w:rPr>
          <w:rFonts w:ascii="Calibri" w:eastAsia="Calibri" w:hAnsi="Calibri" w:cs="Calibri"/>
          <w:color w:val="000000"/>
        </w:rPr>
        <w:t xml:space="preserve"> yapılacak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performans</w:t>
      </w:r>
      <w:r>
        <w:rPr>
          <w:rFonts w:ascii="Calibri" w:eastAsia="Calibri" w:hAnsi="Calibri" w:cs="Calibri"/>
        </w:rPr>
        <w:t xml:space="preserve"> testlerinde ve her yıl yapılacak yarışmalarda </w:t>
      </w:r>
      <w:r>
        <w:rPr>
          <w:rFonts w:ascii="Calibri" w:eastAsia="Calibri" w:hAnsi="Calibri" w:cs="Calibri"/>
          <w:color w:val="000000"/>
        </w:rPr>
        <w:t xml:space="preserve">gelişim gösteriyor olması gerekmektedir. </w:t>
      </w:r>
    </w:p>
    <w:p w14:paraId="4F230437" w14:textId="77777777" w:rsidR="00FA4A91" w:rsidRDefault="00C153A8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TOHM’a</w:t>
      </w:r>
      <w:proofErr w:type="spellEnd"/>
      <w:r>
        <w:rPr>
          <w:rFonts w:ascii="Calibri" w:eastAsia="Calibri" w:hAnsi="Calibri" w:cs="Calibri"/>
          <w:color w:val="000000"/>
        </w:rPr>
        <w:t xml:space="preserve"> giriş ve çıkış işlemleri, bu sonuçlar</w:t>
      </w:r>
      <w:r>
        <w:rPr>
          <w:rFonts w:ascii="Calibri" w:eastAsia="Calibri" w:hAnsi="Calibri" w:cs="Calibri"/>
        </w:rPr>
        <w:t xml:space="preserve">a göre </w:t>
      </w:r>
      <w:r>
        <w:rPr>
          <w:rFonts w:ascii="Calibri" w:eastAsia="Calibri" w:hAnsi="Calibri" w:cs="Calibri"/>
          <w:color w:val="000000"/>
        </w:rPr>
        <w:t xml:space="preserve">mevcut TOHM sporcuları da </w:t>
      </w:r>
      <w:proofErr w:type="gramStart"/>
      <w:r>
        <w:rPr>
          <w:rFonts w:ascii="Calibri" w:eastAsia="Calibri" w:hAnsi="Calibri" w:cs="Calibri"/>
          <w:color w:val="000000"/>
        </w:rPr>
        <w:t>dahil</w:t>
      </w:r>
      <w:proofErr w:type="gramEnd"/>
      <w:r>
        <w:rPr>
          <w:rFonts w:ascii="Calibri" w:eastAsia="Calibri" w:hAnsi="Calibri" w:cs="Calibri"/>
          <w:color w:val="000000"/>
        </w:rPr>
        <w:t xml:space="preserve"> olmak üzere yapılacaktır. Olimpiyat Hazırlık Merkezleri Uygulama Talimatnamesi 12’nci maddesinde yer alan koşullara uyum gösteren ve seçme </w:t>
      </w:r>
      <w:proofErr w:type="gramStart"/>
      <w:r>
        <w:rPr>
          <w:rFonts w:ascii="Calibri" w:eastAsia="Calibri" w:hAnsi="Calibri" w:cs="Calibri"/>
          <w:color w:val="000000"/>
        </w:rPr>
        <w:t>kriterlerini</w:t>
      </w:r>
      <w:proofErr w:type="gramEnd"/>
      <w:r>
        <w:rPr>
          <w:rFonts w:ascii="Calibri" w:eastAsia="Calibri" w:hAnsi="Calibri" w:cs="Calibri"/>
          <w:color w:val="000000"/>
        </w:rPr>
        <w:t xml:space="preserve"> yerine getiren sporcular, </w:t>
      </w:r>
      <w:proofErr w:type="spellStart"/>
      <w:r>
        <w:rPr>
          <w:rFonts w:ascii="Calibri" w:eastAsia="Calibri" w:hAnsi="Calibri" w:cs="Calibri"/>
          <w:color w:val="000000"/>
        </w:rPr>
        <w:t>TOHM’a</w:t>
      </w:r>
      <w:proofErr w:type="spellEnd"/>
      <w:r>
        <w:rPr>
          <w:rFonts w:ascii="Calibri" w:eastAsia="Calibri" w:hAnsi="Calibri" w:cs="Calibri"/>
          <w:color w:val="000000"/>
        </w:rPr>
        <w:t xml:space="preserve"> kayıt yaptırabilecek. </w:t>
      </w:r>
    </w:p>
    <w:p w14:paraId="542FF8C2" w14:textId="77777777" w:rsidR="003A465D" w:rsidRDefault="003A465D" w:rsidP="003A465D"/>
    <w:p w14:paraId="3E8AA42F" w14:textId="77777777" w:rsidR="003A465D" w:rsidRDefault="003A465D" w:rsidP="003A465D"/>
    <w:p w14:paraId="5ACB4D2F" w14:textId="27EFBACC" w:rsidR="003A465D" w:rsidRPr="00045A0C" w:rsidRDefault="003A465D" w:rsidP="003A465D">
      <w:pPr>
        <w:rPr>
          <w:rFonts w:ascii="Calibri" w:eastAsia="Calibri" w:hAnsi="Calibri" w:cs="Calibri"/>
          <w:u w:val="single"/>
        </w:rPr>
      </w:pPr>
      <w:bookmarkStart w:id="3" w:name="_GoBack"/>
      <w:r w:rsidRPr="00045A0C">
        <w:rPr>
          <w:u w:val="single"/>
        </w:rPr>
        <w:t>17.05.2024 tarih ve 30</w:t>
      </w:r>
      <w:r w:rsidRPr="00045A0C">
        <w:rPr>
          <w:u w:val="single"/>
        </w:rPr>
        <w:t xml:space="preserve"> sayılı komisyon kararının ekidir.</w:t>
      </w:r>
      <w:bookmarkEnd w:id="3"/>
    </w:p>
    <w:sectPr w:rsidR="003A465D" w:rsidRPr="00045A0C">
      <w:headerReference w:type="default" r:id="rId7"/>
      <w:footerReference w:type="default" r:id="rId8"/>
      <w:pgSz w:w="11906" w:h="16838"/>
      <w:pgMar w:top="2127" w:right="1416" w:bottom="1418" w:left="1134" w:header="426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8C1A" w14:textId="77777777" w:rsidR="009B3559" w:rsidRDefault="009B3559">
      <w:r>
        <w:separator/>
      </w:r>
    </w:p>
  </w:endnote>
  <w:endnote w:type="continuationSeparator" w:id="0">
    <w:p w14:paraId="61ACA981" w14:textId="77777777" w:rsidR="009B3559" w:rsidRDefault="009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2B13" w14:textId="77777777" w:rsidR="00FA4A91" w:rsidRDefault="00FA4A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</w:p>
  <w:p w14:paraId="26463891" w14:textId="77777777" w:rsidR="00FA4A91" w:rsidRDefault="00C15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25AFC33B" wp14:editId="62E1801B">
          <wp:extent cx="7709197" cy="66833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354FA" w14:textId="77777777" w:rsidR="009B3559" w:rsidRDefault="009B3559">
      <w:r>
        <w:separator/>
      </w:r>
    </w:p>
  </w:footnote>
  <w:footnote w:type="continuationSeparator" w:id="0">
    <w:p w14:paraId="019C5283" w14:textId="77777777" w:rsidR="009B3559" w:rsidRDefault="009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C582" w14:textId="77777777" w:rsidR="00FA4A91" w:rsidRDefault="00C15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632"/>
      </w:tabs>
      <w:ind w:right="-851" w:hanging="851"/>
      <w:rPr>
        <w:color w:val="000000"/>
      </w:rPr>
    </w:pPr>
    <w:r>
      <w:rPr>
        <w:noProof/>
        <w:color w:val="000000"/>
      </w:rPr>
      <w:drawing>
        <wp:inline distT="0" distB="0" distL="0" distR="0" wp14:anchorId="78DA0041" wp14:editId="5E48B0B4">
          <wp:extent cx="7269883" cy="9351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9883" cy="935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063"/>
    <w:multiLevelType w:val="hybridMultilevel"/>
    <w:tmpl w:val="1734A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664A7"/>
    <w:multiLevelType w:val="multilevel"/>
    <w:tmpl w:val="3580C298"/>
    <w:lvl w:ilvl="0">
      <w:start w:val="1"/>
      <w:numFmt w:val="decimal"/>
      <w:lvlText w:val="%1-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C32993"/>
    <w:multiLevelType w:val="hybridMultilevel"/>
    <w:tmpl w:val="73026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1"/>
    <w:rsid w:val="00045A0C"/>
    <w:rsid w:val="000E6AE4"/>
    <w:rsid w:val="002308D4"/>
    <w:rsid w:val="00284EE9"/>
    <w:rsid w:val="002920D9"/>
    <w:rsid w:val="003A465D"/>
    <w:rsid w:val="009B3559"/>
    <w:rsid w:val="00BA7B45"/>
    <w:rsid w:val="00C153A8"/>
    <w:rsid w:val="00EF2A40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23C1"/>
  <w15:docId w15:val="{AB083C68-337F-4396-94AA-24B8F97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right="-648"/>
      <w:outlineLvl w:val="0"/>
    </w:pPr>
    <w:rPr>
      <w:rFonts w:ascii="Arial Narrow" w:eastAsia="Arial Narrow" w:hAnsi="Arial Narrow" w:cs="Arial Narrow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284EE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Kurul</dc:creator>
  <cp:lastModifiedBy>Zekeriya UNAL</cp:lastModifiedBy>
  <cp:revision>7</cp:revision>
  <dcterms:created xsi:type="dcterms:W3CDTF">2023-12-14T06:35:00Z</dcterms:created>
  <dcterms:modified xsi:type="dcterms:W3CDTF">2024-06-24T10:53:00Z</dcterms:modified>
</cp:coreProperties>
</file>